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977"/>
      </w:tblGrid>
      <w:tr w:rsidR="00991641" w:rsidRPr="00991641" w14:paraId="1352AB75" w14:textId="77777777" w:rsidTr="003E51E0">
        <w:tc>
          <w:tcPr>
            <w:tcW w:w="2835" w:type="dxa"/>
            <w:vAlign w:val="center"/>
          </w:tcPr>
          <w:p w14:paraId="0F2C1967" w14:textId="77777777" w:rsidR="00991641" w:rsidRPr="00991641" w:rsidRDefault="00991641" w:rsidP="003E51E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u w:val="single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8"/>
                <w:szCs w:val="18"/>
                <w:u w:val="single"/>
                <w:lang w:val="de-DE" w:eastAsia="de-DE"/>
                <w14:ligatures w14:val="none"/>
              </w:rPr>
              <w:t>Contact :</w:t>
            </w:r>
          </w:p>
          <w:p w14:paraId="29D7411D" w14:textId="77777777" w:rsidR="00991641" w:rsidRPr="00991641" w:rsidRDefault="00991641" w:rsidP="003E51E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William Kearney, Secretary General</w:t>
            </w:r>
          </w:p>
          <w:p w14:paraId="41E9ADF5" w14:textId="77777777" w:rsidR="00991641" w:rsidRPr="00991641" w:rsidRDefault="00991641" w:rsidP="003E51E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6 Coolamber Park,Knocklyon, Dublin 16, Dublin, Ireland,D16Y1F7.</w:t>
            </w:r>
          </w:p>
          <w:p w14:paraId="3CC3613A" w14:textId="77777777" w:rsidR="00991641" w:rsidRPr="00991641" w:rsidRDefault="00991641" w:rsidP="003E51E0">
            <w:pPr>
              <w:tabs>
                <w:tab w:val="left" w:pos="64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phone: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  <w:t>00353871007633</w:t>
            </w:r>
          </w:p>
          <w:p w14:paraId="2E75C404" w14:textId="77777777" w:rsidR="00991641" w:rsidRPr="00991641" w:rsidRDefault="00991641" w:rsidP="003E51E0">
            <w:pPr>
              <w:tabs>
                <w:tab w:val="left" w:pos="64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mail: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  <w:t>info@entente-florale.eu</w:t>
            </w:r>
          </w:p>
          <w:p w14:paraId="76ED8E0A" w14:textId="77777777" w:rsidR="00991641" w:rsidRPr="00991641" w:rsidRDefault="00991641" w:rsidP="003E51E0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web 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</w:r>
            <w:hyperlink r:id="rId5">
              <w:r w:rsidRPr="00991641">
                <w:rPr>
                  <w:rFonts w:ascii="Arial" w:eastAsia="Times New Roman" w:hAnsi="Arial" w:cs="Arial"/>
                  <w:noProof/>
                  <w:color w:val="0000FF"/>
                  <w:kern w:val="32"/>
                  <w:sz w:val="16"/>
                  <w:szCs w:val="16"/>
                  <w:u w:val="single"/>
                  <w:lang w:val="de-DE" w:eastAsia="de-DE"/>
                  <w14:ligatures w14:val="none"/>
                </w:rPr>
                <w:t>www.entente-florale.eu</w:t>
              </w:r>
            </w:hyperlink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126F0581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kern w:val="32"/>
                <w:sz w:val="14"/>
                <w:szCs w:val="14"/>
                <w:lang w:val="fr-FR" w:eastAsia="de-DE"/>
                <w14:ligatures w14:val="none"/>
              </w:rPr>
            </w:pP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4"/>
                <w:szCs w:val="14"/>
                <w:lang w:val="fr-FR" w:eastAsia="de-DE"/>
                <w14:ligatures w14:val="none"/>
              </w:rPr>
              <w:t>Association Européenne pour le Fleurissement et le Paysage / aisbl</w:t>
            </w:r>
          </w:p>
          <w:p w14:paraId="4832E0AF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val="fr-FR" w:eastAsia="de-DE"/>
                <w14:ligatures w14:val="none"/>
              </w:rPr>
            </w:pPr>
          </w:p>
          <w:p w14:paraId="009CAD2B" w14:textId="77777777" w:rsidR="00117AB0" w:rsidRDefault="00117AB0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val="fr-FR" w:eastAsia="de-DE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val="fr-FR" w:eastAsia="de-DE"/>
                <w14:ligatures w14:val="none"/>
              </w:rPr>
              <w:t xml:space="preserve">Press Release </w:t>
            </w:r>
          </w:p>
          <w:p w14:paraId="62E2639A" w14:textId="447611FB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val="fr-FR" w:eastAsia="de-DE"/>
                <w14:ligatures w14:val="none"/>
              </w:rPr>
            </w:pPr>
            <w:r w:rsidRPr="00991641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val="fr-FR" w:eastAsia="de-DE"/>
                <w14:ligatures w14:val="none"/>
              </w:rPr>
              <w:t>Entente Florale Europe</w:t>
            </w:r>
          </w:p>
          <w:p w14:paraId="2213F678" w14:textId="737DA3D1" w:rsidR="00991641" w:rsidRPr="00117AB0" w:rsidRDefault="00117AB0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val="fr-FR" w:eastAsia="de-DE"/>
                <w14:ligatures w14:val="none"/>
              </w:rPr>
            </w:pPr>
            <w:r w:rsidRPr="00117AB0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val="fr-FR" w:eastAsia="de-DE"/>
                <w14:ligatures w14:val="none"/>
              </w:rPr>
              <w:t xml:space="preserve">Results </w:t>
            </w:r>
            <w:r w:rsidR="00991641" w:rsidRPr="00117AB0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val="fr-FR" w:eastAsia="de-DE"/>
                <w14:ligatures w14:val="none"/>
              </w:rPr>
              <w:t>2024</w:t>
            </w:r>
          </w:p>
          <w:p w14:paraId="72E3262B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0F3C31E4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Cs w:val="24"/>
                <w:lang w:val="en-US" w:eastAsia="de-DE"/>
                <w14:ligatures w14:val="none"/>
              </w:rPr>
            </w:pPr>
            <w:r w:rsidRPr="00991641">
              <w:rPr>
                <w:rFonts w:ascii="Arial" w:eastAsia="Times New Roman" w:hAnsi="Arial" w:cs="Times New Roman"/>
                <w:noProof/>
                <w:color w:val="000000"/>
                <w:kern w:val="32"/>
                <w:szCs w:val="24"/>
                <w:lang w:val="de-DE" w:eastAsia="de-D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4825A07" wp14:editId="3F1700A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21590</wp:posOffset>
                  </wp:positionV>
                  <wp:extent cx="1805940" cy="1365885"/>
                  <wp:effectExtent l="0" t="0" r="3810" b="5715"/>
                  <wp:wrapNone/>
                  <wp:docPr id="1425111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Cs w:val="24"/>
                <w:lang w:val="en-US" w:eastAsia="de-DE"/>
                <w14:ligatures w14:val="none"/>
              </w:rPr>
              <w:t xml:space="preserve">           </w:t>
            </w:r>
          </w:p>
        </w:tc>
      </w:tr>
      <w:tr w:rsidR="00991641" w:rsidRPr="00991641" w14:paraId="17C03A1E" w14:textId="77777777" w:rsidTr="003E51E0">
        <w:tc>
          <w:tcPr>
            <w:tcW w:w="2835" w:type="dxa"/>
            <w:vAlign w:val="center"/>
          </w:tcPr>
          <w:p w14:paraId="658860BF" w14:textId="1A3AFD0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 </w:t>
            </w:r>
            <w:r w:rsidR="00EB5EB9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Press Release September 7th </w: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>2024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3BF476E6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Page  </w: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begin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instrText xml:space="preserve"> PAGE </w:instrTex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separate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>1</w: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end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 of  2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C822488" w14:textId="77777777" w:rsidR="00991641" w:rsidRPr="00991641" w:rsidRDefault="00991641" w:rsidP="009916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</w:p>
        </w:tc>
      </w:tr>
    </w:tbl>
    <w:p w14:paraId="48AA881D" w14:textId="77777777" w:rsidR="004A0EDE" w:rsidRDefault="004A0EDE" w:rsidP="00991641">
      <w:pPr>
        <w:spacing w:after="200" w:line="240" w:lineRule="auto"/>
        <w:jc w:val="center"/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en-IE"/>
          <w14:ligatures w14:val="none"/>
        </w:rPr>
      </w:pPr>
    </w:p>
    <w:p w14:paraId="3C5880F6" w14:textId="58DB8512" w:rsidR="00D3056B" w:rsidRPr="00D3056B" w:rsidRDefault="00D3056B" w:rsidP="00991641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</w:pPr>
      <w:r w:rsidRPr="00D3056B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The Official Results of the Entente Florale Competition for 202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4</w:t>
      </w:r>
      <w:r w:rsidRPr="00D3056B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 xml:space="preserve"> have been announced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…</w:t>
      </w:r>
    </w:p>
    <w:p w14:paraId="6482F582" w14:textId="52F5F062" w:rsidR="00EB5EB9" w:rsidRPr="00EB5EB9" w:rsidRDefault="00117AB0" w:rsidP="00117AB0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                                                                                                                           </w:t>
      </w:r>
      <w:r w:rsidR="00EB5EB9" w:rsidRPr="00EB5EB9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Date: 07/09/2024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 – 20.00 hrs</w:t>
      </w:r>
    </w:p>
    <w:p w14:paraId="6B624B88" w14:textId="6409BC20" w:rsidR="00991641" w:rsidRPr="00991641" w:rsidRDefault="00991641" w:rsidP="0099164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Entente Florale Europe 20</w:t>
      </w:r>
      <w:r w:rsidRPr="00EB5EB9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24</w:t>
      </w:r>
      <w:r w:rsidRPr="00991641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 xml:space="preserve"> – background and results</w:t>
      </w:r>
      <w:r w:rsidRPr="00EB5EB9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.</w:t>
      </w:r>
      <w:r w:rsidRPr="00991641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 </w:t>
      </w:r>
    </w:p>
    <w:p w14:paraId="34F891EC" w14:textId="6EDA7A56" w:rsidR="00991641" w:rsidRPr="00836E8A" w:rsidRDefault="00117AB0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Entente Florale Europe – </w:t>
      </w:r>
      <w:r w:rsidR="00991641"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A</w:t>
      </w:r>
      <w:r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. </w:t>
      </w:r>
      <w:r w:rsidR="00991641"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E</w:t>
      </w:r>
      <w:r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. </w:t>
      </w:r>
      <w:r w:rsidR="00991641"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F</w:t>
      </w:r>
      <w:r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. </w:t>
      </w:r>
      <w:r w:rsidR="00991641"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P</w:t>
      </w:r>
      <w:r w:rsidRPr="00836E8A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.</w:t>
      </w:r>
    </w:p>
    <w:p w14:paraId="3F02EBC4" w14:textId="60FE3C7B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The </w:t>
      </w:r>
      <w:r w:rsidRPr="00991641">
        <w:rPr>
          <w:rFonts w:ascii="Cambria" w:eastAsia="Times New Roman" w:hAnsi="Cambria" w:cs="Times New Roman"/>
          <w:i/>
          <w:iCs/>
          <w:color w:val="000000"/>
          <w:kern w:val="0"/>
          <w:lang w:eastAsia="en-IE"/>
          <w14:ligatures w14:val="none"/>
        </w:rPr>
        <w:t>Association Europeenne pour le Fleurissement et le Paysage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(AEFP) - the European Association for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floral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enhancement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and 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l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andscape is an international, non-profit association. </w:t>
      </w:r>
    </w:p>
    <w:p w14:paraId="6E1BA0A8" w14:textId="6B0FB20D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The overall aim of the Association today is the social and cultural development and enhancement of the quality of life of urban dwellers, primarily through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sustainable planning,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landscape 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and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development and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green initiatives.</w:t>
      </w:r>
    </w:p>
    <w:p w14:paraId="34EF40CC" w14:textId="4E65A8FC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To support its aims, </w:t>
      </w:r>
      <w:r w:rsidRPr="00991641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the Association organises an international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awards scheme </w:t>
      </w:r>
      <w:r w:rsidRPr="00991641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known as Entente Florale Europe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to promote a greener and more pleasant environment in European towns and villages and to establish international contacts among the participants.  </w:t>
      </w:r>
    </w:p>
    <w:p w14:paraId="5BDBB301" w14:textId="37E22C36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Entente Florale Europe - The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Awards Scheme</w:t>
      </w:r>
    </w:p>
    <w:p w14:paraId="166F0602" w14:textId="27AD98CB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The Entente Florale Europe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awards scheme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is the principal means through which the AEFP achieves its aims. In the year 20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24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,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seven different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countries have participated giving a total of 1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1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entries to the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scheme.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An international jury carried out an ‘in situ’ assessment of the candidate town/city and village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s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. </w:t>
      </w:r>
    </w:p>
    <w:p w14:paraId="3C4629A2" w14:textId="4013B9BE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Criteria </w:t>
      </w:r>
    </w:p>
    <w:p w14:paraId="6AB7FA73" w14:textId="731E5334" w:rsidR="00991641" w:rsidRPr="00991641" w:rsidRDefault="00991641" w:rsidP="00991641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The international jury – coming from the member countries - assesse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d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the candidate towns and villages according to 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10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criteria based on the following considerations:</w:t>
      </w:r>
    </w:p>
    <w:p w14:paraId="2F0FFC5F" w14:textId="77777777" w:rsidR="00991641" w:rsidRPr="00991641" w:rsidRDefault="00991641" w:rsidP="00991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Quality of landscape and vegetation: seasonal and permanent planting of flowers, trees, shrubs; respect for landscape and landscape policies; promotion of biodiversity and ecologically friendly maintenance and management.</w:t>
      </w:r>
    </w:p>
    <w:p w14:paraId="1351A640" w14:textId="74B3DDEF" w:rsidR="00991641" w:rsidRPr="00991641" w:rsidRDefault="00991641" w:rsidP="00991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Quality of natural and built environments including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sustainable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waste management, water management, heritage, quality of streets and buildings and cleanliness. Participation and cooperation by local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voluntary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bodies and organisations. Contribution and role of local statutory authorities.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The successful implementation of s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ustainable </w:t>
      </w:r>
      <w:r w:rsidR="00117AB0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environmental and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limate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hange mitigation measures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is also taken into account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.</w:t>
      </w:r>
    </w:p>
    <w:p w14:paraId="3E63A1A5" w14:textId="5689DDF2" w:rsidR="00991641" w:rsidRPr="00991641" w:rsidRDefault="00991641" w:rsidP="00991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Education and schools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- ecology and 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the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green dimension. Other educational endeavours promoting the aims of the AEFP.</w:t>
      </w:r>
    </w:p>
    <w:p w14:paraId="0F3CF9DB" w14:textId="3953F085" w:rsidR="00991641" w:rsidRPr="00991641" w:rsidRDefault="00991641" w:rsidP="00991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lastRenderedPageBreak/>
        <w:t>Attractiveness and presentation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-</w:t>
      </w:r>
      <w:r w:rsidR="004A0EDE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tourism and leisure policy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and facilities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, information and communication to local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people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and to the public at large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- preparation and presentation of the town and village for the </w:t>
      </w:r>
      <w:r w:rsidR="00117AB0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on-site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assessment visit</w:t>
      </w:r>
      <w:r w:rsidR="00117AB0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s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.  </w:t>
      </w:r>
    </w:p>
    <w:p w14:paraId="314A01E7" w14:textId="77777777" w:rsidR="00991641" w:rsidRPr="00991641" w:rsidRDefault="00991641" w:rsidP="009916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</w:p>
    <w:p w14:paraId="73AE0B37" w14:textId="4DC9CBC9" w:rsidR="00991641" w:rsidRPr="004040EB" w:rsidRDefault="004040EB" w:rsidP="00EB5EB9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E"/>
          <w14:ligatures w14:val="none"/>
        </w:rPr>
      </w:pPr>
      <w:r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 xml:space="preserve">Entente Florale Europe Results and </w:t>
      </w:r>
      <w:r w:rsidR="00991641"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Awards</w:t>
      </w:r>
      <w:r w:rsidR="00117AB0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 xml:space="preserve"> </w:t>
      </w:r>
      <w:r w:rsidR="00117AB0"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2024</w:t>
      </w:r>
      <w:r w:rsidR="00991641"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 </w:t>
      </w:r>
    </w:p>
    <w:p w14:paraId="76F12487" w14:textId="2A9DB049" w:rsidR="00991641" w:rsidRPr="00991641" w:rsidRDefault="00991641" w:rsidP="003E51E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The 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below 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awards are based on overall marks achieved. This year the jury awarded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4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silver and 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7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gold awards.  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All participants receiving gold or silver awards have achieved a very high standard overall and can take pride in their </w:t>
      </w:r>
      <w:r w:rsidR="00117AB0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communities’</w:t>
      </w:r>
      <w:r w:rsidR="004040EB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achievements this year.</w:t>
      </w:r>
    </w:p>
    <w:tbl>
      <w:tblPr>
        <w:tblW w:w="8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2935"/>
        <w:gridCol w:w="2284"/>
        <w:gridCol w:w="1054"/>
      </w:tblGrid>
      <w:tr w:rsidR="00DE10F3" w:rsidRPr="00991641" w14:paraId="2DB4203D" w14:textId="77777777" w:rsidTr="00836E8A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35072" w14:textId="5A7C8F7B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The 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3FA24" w14:textId="77777777" w:rsidR="00463094" w:rsidRPr="00D67840" w:rsidRDefault="00463094" w:rsidP="00117AB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</w:pPr>
          </w:p>
          <w:p w14:paraId="2C01F391" w14:textId="7B116E5E" w:rsidR="00991641" w:rsidRPr="00D67840" w:rsidRDefault="00991641" w:rsidP="00117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Ballinahown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9C675" w14:textId="21945578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F6CF7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6B37CF91" w14:textId="77777777" w:rsidTr="00D67840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59C33" w14:textId="45B83EC8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The 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63AC6" w14:textId="70EE3BE8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Carlow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9ADA5" w14:textId="4AA5A22A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78C8C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1D8A0C53" w14:textId="77777777" w:rsidTr="00D67840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2DF6A" w14:textId="7080038A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highlight w:val="yellow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463094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1DB84" w14:textId="7A14CA47" w:rsidR="00991641" w:rsidRPr="00D67840" w:rsidRDefault="004A0EDE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highlight w:val="yellow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Chorušice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F5A61" w14:textId="14C9305E" w:rsidR="00991641" w:rsidRPr="00D67840" w:rsidRDefault="00463094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highlight w:val="yellow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Czechia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B05CB" w14:textId="626CE7C4" w:rsidR="00991641" w:rsidRPr="00D67840" w:rsidRDefault="00463094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highlight w:val="yellow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3CED260A" w14:textId="77777777" w:rsidTr="00D67840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C47CF" w14:textId="0AA0FD75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DE10F3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BA71F" w14:textId="440A6013" w:rsidR="00991641" w:rsidRPr="00D67840" w:rsidRDefault="00463094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Debrecen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6F859" w14:textId="3751E4AE" w:rsidR="00991641" w:rsidRPr="00D67840" w:rsidRDefault="004A0EDE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4EFE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Silver</w:t>
            </w:r>
          </w:p>
        </w:tc>
      </w:tr>
      <w:tr w:rsidR="00DE10F3" w:rsidRPr="00991641" w14:paraId="740F124C" w14:textId="77777777" w:rsidTr="00D67840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91736" w14:textId="5B3257C0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DE10F3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C5AB1" w14:textId="70A209AB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Höxter 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01DAE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F6CD6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20149B2D" w14:textId="77777777" w:rsidTr="00D67840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1C1F2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The 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A064D" w14:textId="5D282820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Meinheim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0AA50" w14:textId="276BBDE0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2A017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1C28230A" w14:textId="77777777" w:rsidTr="00D67840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35FC8" w14:textId="6FADD20D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DE10F3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E829A" w14:textId="46EDE0AC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Miercurea Ciuc 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52D08" w14:textId="12235A30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Romania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D52A3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Silver</w:t>
            </w:r>
          </w:p>
        </w:tc>
      </w:tr>
      <w:tr w:rsidR="00DE10F3" w:rsidRPr="00991641" w14:paraId="605CC096" w14:textId="77777777" w:rsidTr="00D6784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4F8B8" w14:textId="6BF0ECD7" w:rsidR="00991641" w:rsidRPr="00D67840" w:rsidRDefault="00991641" w:rsidP="00117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DE10F3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68CA0" w14:textId="68983D6C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Písek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DB189" w14:textId="58B5BCDF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Czechia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C5AF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Silver</w:t>
            </w:r>
          </w:p>
        </w:tc>
      </w:tr>
      <w:tr w:rsidR="00DE10F3" w:rsidRPr="00991641" w14:paraId="22BD1F55" w14:textId="77777777" w:rsidTr="00D67840">
        <w:trPr>
          <w:trHeight w:val="6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517A0" w14:textId="761D65F2" w:rsidR="00991641" w:rsidRPr="00D67840" w:rsidRDefault="00991641" w:rsidP="00117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4A0EDE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84CDD" w14:textId="3379445B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Velenje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977CD" w14:textId="48273D3A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Slovenia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5D230" w14:textId="3970538C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  <w:tr w:rsidR="00DE10F3" w:rsidRPr="00991641" w14:paraId="6EE9DF18" w14:textId="77777777" w:rsidTr="00D6784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7B394" w14:textId="4E403505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The </w:t>
            </w:r>
            <w:r w:rsidR="00DE10F3"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11B58" w14:textId="550F7F72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Vl</w:t>
            </w:r>
            <w:r w:rsidR="004A0EDE"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č</w:t>
            </w: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any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2CBFF" w14:textId="6FDF1C5D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Slovakia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8C4FC" w14:textId="471AD3FA" w:rsidR="00991641" w:rsidRPr="00D67840" w:rsidRDefault="00DE10F3" w:rsidP="00117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Silver</w:t>
            </w:r>
          </w:p>
        </w:tc>
      </w:tr>
      <w:tr w:rsidR="00DE10F3" w:rsidRPr="00991641" w14:paraId="0789547B" w14:textId="77777777" w:rsidTr="00D67840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09D1F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The 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7C6A" w14:textId="4E991B3E" w:rsidR="00991641" w:rsidRPr="00D67840" w:rsidRDefault="00DE10F3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Zalakaros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9B34B" w14:textId="6F9B7827" w:rsidR="00991641" w:rsidRPr="00D67840" w:rsidRDefault="00CE3550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01459" w14:textId="77777777" w:rsidR="00991641" w:rsidRPr="00D67840" w:rsidRDefault="00991641" w:rsidP="00117A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E"/>
                <w14:ligatures w14:val="none"/>
              </w:rPr>
            </w:pPr>
            <w:r w:rsidRPr="00D6784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Gold</w:t>
            </w:r>
          </w:p>
        </w:tc>
      </w:tr>
    </w:tbl>
    <w:p w14:paraId="22359F36" w14:textId="62B709C4" w:rsidR="00991641" w:rsidRPr="00117AB0" w:rsidRDefault="00991641" w:rsidP="00117AB0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br/>
      </w:r>
      <w:r w:rsidRPr="00117AB0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The jury also awarded the following special awards:</w:t>
      </w:r>
    </w:p>
    <w:p w14:paraId="10425B36" w14:textId="77777777" w:rsidR="004A0EDE" w:rsidRPr="00117AB0" w:rsidRDefault="004A0EDE" w:rsidP="004A0EDE">
      <w:pPr>
        <w:rPr>
          <w:rFonts w:ascii="Arial" w:hAnsi="Arial" w:cs="Arial"/>
          <w:b/>
          <w:bCs/>
          <w:u w:val="single"/>
        </w:rPr>
      </w:pPr>
      <w:r w:rsidRPr="00117AB0">
        <w:rPr>
          <w:rFonts w:ascii="Arial" w:hAnsi="Arial" w:cs="Arial"/>
          <w:b/>
          <w:bCs/>
          <w:u w:val="single"/>
        </w:rPr>
        <w:t>Special Awards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445"/>
        <w:gridCol w:w="5267"/>
        <w:gridCol w:w="1353"/>
      </w:tblGrid>
      <w:tr w:rsidR="004A0EDE" w:rsidRPr="00117AB0" w14:paraId="17C0D8E8" w14:textId="77777777" w:rsidTr="004A0EDE">
        <w:tc>
          <w:tcPr>
            <w:tcW w:w="3570" w:type="dxa"/>
          </w:tcPr>
          <w:p w14:paraId="5CB1F331" w14:textId="77777777" w:rsidR="004A0EDE" w:rsidRPr="00117AB0" w:rsidRDefault="004A0EDE" w:rsidP="00BB6FA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7AB0">
              <w:rPr>
                <w:rFonts w:ascii="Arial" w:hAnsi="Arial" w:cs="Arial"/>
                <w:b/>
                <w:bCs/>
                <w:u w:val="single"/>
              </w:rPr>
              <w:t>Award</w:t>
            </w:r>
          </w:p>
        </w:tc>
        <w:tc>
          <w:tcPr>
            <w:tcW w:w="5494" w:type="dxa"/>
          </w:tcPr>
          <w:p w14:paraId="31CB9111" w14:textId="77777777" w:rsidR="004A0EDE" w:rsidRPr="00117AB0" w:rsidRDefault="004A0EDE" w:rsidP="00BB6FA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7AB0">
              <w:rPr>
                <w:rFonts w:ascii="Arial" w:hAnsi="Arial" w:cs="Arial"/>
                <w:b/>
                <w:bCs/>
                <w:u w:val="single"/>
              </w:rPr>
              <w:t>Project</w:t>
            </w:r>
          </w:p>
        </w:tc>
        <w:tc>
          <w:tcPr>
            <w:tcW w:w="1001" w:type="dxa"/>
          </w:tcPr>
          <w:p w14:paraId="69891316" w14:textId="77777777" w:rsidR="004A0EDE" w:rsidRPr="00117AB0" w:rsidRDefault="004A0EDE" w:rsidP="00BB6FA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17AB0">
              <w:rPr>
                <w:rFonts w:ascii="Arial" w:hAnsi="Arial" w:cs="Arial"/>
                <w:b/>
                <w:bCs/>
                <w:u w:val="single"/>
              </w:rPr>
              <w:t>Participant</w:t>
            </w:r>
          </w:p>
          <w:p w14:paraId="4AAE31FF" w14:textId="77777777" w:rsidR="004A0EDE" w:rsidRPr="00117AB0" w:rsidRDefault="004A0EDE" w:rsidP="00BB6FA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A0EDE" w:rsidRPr="00117AB0" w14:paraId="2611BF7B" w14:textId="77777777" w:rsidTr="004A0EDE">
        <w:tc>
          <w:tcPr>
            <w:tcW w:w="3570" w:type="dxa"/>
          </w:tcPr>
          <w:p w14:paraId="5C4E0AE1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President’s Prize</w:t>
            </w:r>
          </w:p>
        </w:tc>
        <w:tc>
          <w:tcPr>
            <w:tcW w:w="5494" w:type="dxa"/>
          </w:tcPr>
          <w:p w14:paraId="39044855" w14:textId="3EF0572F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 xml:space="preserve">For the development of local </w:t>
            </w:r>
            <w:r w:rsidR="00117AB0">
              <w:rPr>
                <w:rFonts w:ascii="Arial" w:hAnsi="Arial" w:cs="Arial"/>
                <w:b/>
                <w:bCs/>
              </w:rPr>
              <w:t>‘</w:t>
            </w:r>
            <w:r w:rsidRPr="00117AB0">
              <w:rPr>
                <w:rFonts w:ascii="Arial" w:hAnsi="Arial" w:cs="Arial"/>
                <w:b/>
                <w:bCs/>
              </w:rPr>
              <w:t>Rain Gardens</w:t>
            </w:r>
            <w:r w:rsidR="00117AB0">
              <w:rPr>
                <w:rFonts w:ascii="Arial" w:hAnsi="Arial" w:cs="Arial"/>
                <w:b/>
                <w:bCs/>
              </w:rPr>
              <w:t>’</w:t>
            </w:r>
            <w:r w:rsidRPr="00117AB0">
              <w:rPr>
                <w:rFonts w:ascii="Arial" w:hAnsi="Arial" w:cs="Arial"/>
                <w:b/>
                <w:bCs/>
              </w:rPr>
              <w:t xml:space="preserve"> built around the centre of Carlow town.</w:t>
            </w:r>
          </w:p>
          <w:p w14:paraId="7457C29D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1" w:type="dxa"/>
          </w:tcPr>
          <w:p w14:paraId="65D1E3CA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Carlow, Ireland</w:t>
            </w:r>
          </w:p>
          <w:p w14:paraId="401CA5CF" w14:textId="77777777" w:rsidR="004A0EDE" w:rsidRPr="00117AB0" w:rsidRDefault="004A0EDE" w:rsidP="004A0EDE">
            <w:pPr>
              <w:ind w:right="2441"/>
              <w:rPr>
                <w:rFonts w:ascii="Arial" w:hAnsi="Arial" w:cs="Arial"/>
                <w:b/>
                <w:bCs/>
              </w:rPr>
            </w:pPr>
          </w:p>
        </w:tc>
      </w:tr>
      <w:tr w:rsidR="004A0EDE" w:rsidRPr="00117AB0" w14:paraId="212523F1" w14:textId="77777777" w:rsidTr="004A0EDE">
        <w:tc>
          <w:tcPr>
            <w:tcW w:w="3570" w:type="dxa"/>
          </w:tcPr>
          <w:p w14:paraId="11EB9DE4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Herbert Titz Memorial Prize</w:t>
            </w:r>
          </w:p>
        </w:tc>
        <w:tc>
          <w:tcPr>
            <w:tcW w:w="5494" w:type="dxa"/>
          </w:tcPr>
          <w:p w14:paraId="1714DCE4" w14:textId="7927B93B" w:rsidR="004A0EDE" w:rsidRPr="00117AB0" w:rsidRDefault="004A0EDE" w:rsidP="00BB6FA6">
            <w:pPr>
              <w:rPr>
                <w:rFonts w:ascii="Arial" w:eastAsia="Times New Roman" w:hAnsi="Arial" w:cs="Arial"/>
                <w:b/>
                <w:bCs/>
              </w:rPr>
            </w:pPr>
            <w:r w:rsidRPr="00117AB0">
              <w:rPr>
                <w:rFonts w:ascii="Arial" w:eastAsia="Times New Roman" w:hAnsi="Arial" w:cs="Arial"/>
                <w:b/>
                <w:bCs/>
              </w:rPr>
              <w:t xml:space="preserve">For the </w:t>
            </w:r>
            <w:r w:rsidR="006B6393">
              <w:rPr>
                <w:rFonts w:ascii="Arial" w:eastAsia="Times New Roman" w:hAnsi="Arial" w:cs="Arial"/>
                <w:b/>
                <w:bCs/>
              </w:rPr>
              <w:t>‘</w:t>
            </w:r>
            <w:r w:rsidRPr="00117AB0">
              <w:rPr>
                <w:rFonts w:ascii="Arial" w:eastAsia="Times New Roman" w:hAnsi="Arial" w:cs="Arial"/>
                <w:b/>
                <w:bCs/>
              </w:rPr>
              <w:t>Mary Garden</w:t>
            </w:r>
            <w:r w:rsidR="006B6393">
              <w:rPr>
                <w:rFonts w:ascii="Arial" w:eastAsia="Times New Roman" w:hAnsi="Arial" w:cs="Arial"/>
                <w:b/>
                <w:bCs/>
              </w:rPr>
              <w:t>’</w:t>
            </w:r>
            <w:r w:rsidRPr="00117AB0">
              <w:rPr>
                <w:rFonts w:ascii="Arial" w:eastAsia="Times New Roman" w:hAnsi="Arial" w:cs="Arial"/>
                <w:b/>
                <w:bCs/>
              </w:rPr>
              <w:t xml:space="preserve"> with the medicinal and herbal plantings, as well as intensive voluntary involvement</w:t>
            </w:r>
            <w:r w:rsidR="00117AB0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66ADEFD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1" w:type="dxa"/>
          </w:tcPr>
          <w:p w14:paraId="1CF94051" w14:textId="3916F252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Miercurea Ciuc, Romania</w:t>
            </w:r>
          </w:p>
        </w:tc>
      </w:tr>
      <w:tr w:rsidR="004A0EDE" w:rsidRPr="00117AB0" w14:paraId="37074695" w14:textId="77777777" w:rsidTr="004A0EDE">
        <w:tc>
          <w:tcPr>
            <w:tcW w:w="3570" w:type="dxa"/>
          </w:tcPr>
          <w:p w14:paraId="28E09717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Green Space Award – with World Urban Parks</w:t>
            </w:r>
          </w:p>
        </w:tc>
        <w:tc>
          <w:tcPr>
            <w:tcW w:w="5494" w:type="dxa"/>
          </w:tcPr>
          <w:p w14:paraId="4B110C38" w14:textId="636E6584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The highest (average) score for the criterion ‘Green Spaces’</w:t>
            </w:r>
            <w:r w:rsidR="00117AB0">
              <w:rPr>
                <w:rFonts w:ascii="Arial" w:hAnsi="Arial" w:cs="Arial"/>
                <w:b/>
                <w:bCs/>
              </w:rPr>
              <w:t>.</w:t>
            </w:r>
          </w:p>
          <w:p w14:paraId="680EA964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1" w:type="dxa"/>
          </w:tcPr>
          <w:p w14:paraId="1585547F" w14:textId="77777777" w:rsidR="004A0EDE" w:rsidRPr="00117AB0" w:rsidRDefault="004A0EDE" w:rsidP="00BB6FA6">
            <w:pPr>
              <w:rPr>
                <w:rFonts w:ascii="Arial" w:hAnsi="Arial" w:cs="Arial"/>
                <w:b/>
                <w:bCs/>
              </w:rPr>
            </w:pPr>
            <w:r w:rsidRPr="00117AB0">
              <w:rPr>
                <w:rFonts w:ascii="Arial" w:hAnsi="Arial" w:cs="Arial"/>
                <w:b/>
                <w:bCs/>
              </w:rPr>
              <w:t>Vlčany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 Slovakia</w:t>
            </w:r>
            <w:r w:rsidRPr="00117AB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8446995" w14:textId="77777777" w:rsidR="00EB5EB9" w:rsidRPr="00117AB0" w:rsidRDefault="00EB5EB9" w:rsidP="004A0EDE">
      <w:pPr>
        <w:rPr>
          <w:rFonts w:ascii="Arial" w:hAnsi="Arial" w:cs="Arial"/>
          <w:b/>
          <w:bCs/>
          <w:u w:val="single"/>
          <w:lang w:val="en-US"/>
        </w:rPr>
      </w:pPr>
    </w:p>
    <w:p w14:paraId="1ABB7E2F" w14:textId="254D7786" w:rsidR="004A0EDE" w:rsidRPr="00117AB0" w:rsidRDefault="004A0EDE" w:rsidP="004A0EDE">
      <w:pPr>
        <w:rPr>
          <w:rFonts w:ascii="Arial" w:hAnsi="Arial" w:cs="Arial"/>
          <w:b/>
          <w:bCs/>
          <w:u w:val="single"/>
          <w:lang w:val="en-US"/>
        </w:rPr>
      </w:pPr>
      <w:r w:rsidRPr="00117AB0">
        <w:rPr>
          <w:rFonts w:ascii="Arial" w:hAnsi="Arial" w:cs="Arial"/>
          <w:b/>
          <w:bCs/>
          <w:u w:val="single"/>
          <w:lang w:val="en-US"/>
        </w:rPr>
        <w:t>Special Characteristics (Outstanding activities)</w:t>
      </w:r>
      <w:r w:rsidR="00117AB0" w:rsidRPr="00117AB0">
        <w:rPr>
          <w:rFonts w:ascii="Arial" w:hAnsi="Arial" w:cs="Arial"/>
          <w:b/>
          <w:bCs/>
          <w:u w:val="single"/>
          <w:lang w:val="en-US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4A0EDE" w:rsidRPr="00117AB0" w14:paraId="501EFE80" w14:textId="77777777" w:rsidTr="004A0EDE">
        <w:tc>
          <w:tcPr>
            <w:tcW w:w="3114" w:type="dxa"/>
          </w:tcPr>
          <w:p w14:paraId="25E4A3A6" w14:textId="77777777" w:rsidR="004A0EDE" w:rsidRPr="00117AB0" w:rsidRDefault="004A0EDE" w:rsidP="00BB6F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lastRenderedPageBreak/>
              <w:t>Participant</w:t>
            </w:r>
          </w:p>
          <w:p w14:paraId="4F66D139" w14:textId="77777777" w:rsidR="004A0EDE" w:rsidRPr="00117AB0" w:rsidRDefault="004A0EDE" w:rsidP="00BB6F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087" w:type="dxa"/>
          </w:tcPr>
          <w:p w14:paraId="36756135" w14:textId="77777777" w:rsidR="004A0EDE" w:rsidRPr="00117AB0" w:rsidRDefault="004A0EDE" w:rsidP="00BB6F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hAnsi="Arial" w:cs="Arial"/>
                <w:b/>
                <w:bCs/>
                <w:lang w:val="en-US"/>
              </w:rPr>
              <w:t>Special Characteristic</w:t>
            </w:r>
          </w:p>
        </w:tc>
      </w:tr>
      <w:tr w:rsidR="004A0EDE" w:rsidRPr="00117AB0" w14:paraId="4ABB0A1D" w14:textId="77777777" w:rsidTr="004A0EDE">
        <w:tc>
          <w:tcPr>
            <w:tcW w:w="3114" w:type="dxa"/>
          </w:tcPr>
          <w:p w14:paraId="501662F2" w14:textId="27EF142A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i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ercurea Ciuc, Romania</w:t>
            </w:r>
          </w:p>
        </w:tc>
        <w:tc>
          <w:tcPr>
            <w:tcW w:w="7087" w:type="dxa"/>
          </w:tcPr>
          <w:p w14:paraId="05DEADB7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promenade area and local involvement in the flower market</w:t>
            </w:r>
          </w:p>
        </w:tc>
      </w:tr>
      <w:tr w:rsidR="004A0EDE" w:rsidRPr="00117AB0" w14:paraId="7F863ED1" w14:textId="77777777" w:rsidTr="004A0EDE">
        <w:tc>
          <w:tcPr>
            <w:tcW w:w="3114" w:type="dxa"/>
            <w:vAlign w:val="center"/>
          </w:tcPr>
          <w:p w14:paraId="047FE310" w14:textId="19E569D9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Debrecen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Hungary</w:t>
            </w:r>
          </w:p>
        </w:tc>
        <w:tc>
          <w:tcPr>
            <w:tcW w:w="7087" w:type="dxa"/>
          </w:tcPr>
          <w:p w14:paraId="39369F33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annual and perennial planting schemes in the city centre</w:t>
            </w:r>
          </w:p>
        </w:tc>
      </w:tr>
      <w:tr w:rsidR="004A0EDE" w14:paraId="0F354B8C" w14:textId="77777777" w:rsidTr="004A0EDE">
        <w:tc>
          <w:tcPr>
            <w:tcW w:w="3114" w:type="dxa"/>
          </w:tcPr>
          <w:p w14:paraId="5C24C937" w14:textId="111A7477" w:rsidR="004A0EDE" w:rsidRPr="00433431" w:rsidRDefault="004A0EDE" w:rsidP="00BB6F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85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Zalakaros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,</w:t>
            </w:r>
            <w:r w:rsidRPr="00A85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Hungary</w:t>
            </w:r>
          </w:p>
        </w:tc>
        <w:tc>
          <w:tcPr>
            <w:tcW w:w="7087" w:type="dxa"/>
          </w:tcPr>
          <w:p w14:paraId="0A483566" w14:textId="77777777" w:rsidR="004A0EDE" w:rsidRPr="008030C0" w:rsidRDefault="004A0EDE" w:rsidP="00BB6F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For exceptional </w:t>
            </w:r>
            <w:r w:rsidRPr="008030C0">
              <w:rPr>
                <w:rFonts w:ascii="Arial" w:eastAsia="Times New Roman" w:hAnsi="Arial" w:cs="Arial"/>
                <w:sz w:val="24"/>
                <w:szCs w:val="24"/>
              </w:rPr>
              <w:t>water resources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management</w:t>
            </w:r>
          </w:p>
        </w:tc>
      </w:tr>
      <w:tr w:rsidR="004A0EDE" w:rsidRPr="00117AB0" w14:paraId="3A20452D" w14:textId="77777777" w:rsidTr="004A0EDE">
        <w:tc>
          <w:tcPr>
            <w:tcW w:w="3114" w:type="dxa"/>
          </w:tcPr>
          <w:p w14:paraId="0A9FE3E6" w14:textId="3EF2A969" w:rsidR="004A0EDE" w:rsidRPr="00117AB0" w:rsidRDefault="004A0EDE" w:rsidP="00BB6FA6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Velenje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Slovenia</w:t>
            </w:r>
          </w:p>
        </w:tc>
        <w:tc>
          <w:tcPr>
            <w:tcW w:w="7087" w:type="dxa"/>
          </w:tcPr>
          <w:p w14:paraId="32F69E36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exceptional tourism and leisure facilities</w:t>
            </w:r>
          </w:p>
        </w:tc>
      </w:tr>
      <w:tr w:rsidR="004A0EDE" w:rsidRPr="00117AB0" w14:paraId="29D4E76A" w14:textId="77777777" w:rsidTr="004A0EDE">
        <w:tc>
          <w:tcPr>
            <w:tcW w:w="3114" w:type="dxa"/>
          </w:tcPr>
          <w:p w14:paraId="030A94BC" w14:textId="7E59F31D" w:rsidR="004A0EDE" w:rsidRPr="00117AB0" w:rsidRDefault="004A0EDE" w:rsidP="00BB6FA6">
            <w:pPr>
              <w:rPr>
                <w:rFonts w:ascii="Arial" w:eastAsia="Times New Roman" w:hAnsi="Arial" w:cs="Arial"/>
                <w:b/>
                <w:bCs/>
                <w:color w:val="000000"/>
                <w:lang w:val="en-IE" w:eastAsia="en-IE"/>
              </w:rPr>
            </w:pPr>
            <w:r w:rsidRPr="00117AB0">
              <w:rPr>
                <w:rFonts w:ascii="Arial" w:hAnsi="Arial" w:cs="Arial"/>
                <w:b/>
                <w:bCs/>
              </w:rPr>
              <w:t>Vlčany</w:t>
            </w:r>
            <w:r w:rsidR="00117AB0">
              <w:rPr>
                <w:rFonts w:ascii="Arial" w:hAnsi="Arial" w:cs="Arial"/>
                <w:b/>
                <w:bCs/>
              </w:rPr>
              <w:t>,</w:t>
            </w:r>
            <w:r w:rsidRPr="00117AB0">
              <w:t xml:space="preserve"> 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Slovakia</w:t>
            </w:r>
          </w:p>
        </w:tc>
        <w:tc>
          <w:tcPr>
            <w:tcW w:w="7087" w:type="dxa"/>
          </w:tcPr>
          <w:p w14:paraId="47F8AB6A" w14:textId="77777777" w:rsidR="004A0EDE" w:rsidRPr="00117AB0" w:rsidRDefault="004A0EDE" w:rsidP="00BB6FA6">
            <w:pPr>
              <w:rPr>
                <w:rFonts w:ascii="Arial" w:eastAsia="Times New Roman" w:hAnsi="Arial" w:cs="Arial"/>
                <w:color w:val="000000"/>
                <w:lang w:val="en-IE" w:eastAsia="en-IE"/>
              </w:rPr>
            </w:pPr>
            <w:r w:rsidRPr="00117AB0">
              <w:rPr>
                <w:rFonts w:ascii="Arial" w:eastAsia="Times New Roman" w:hAnsi="Arial" w:cs="Arial"/>
                <w:color w:val="000000"/>
                <w:lang w:val="en-IE" w:eastAsia="en-IE"/>
              </w:rPr>
              <w:t>For the new green spaces and inclusion of blue-green infrastructure</w:t>
            </w:r>
          </w:p>
        </w:tc>
      </w:tr>
      <w:tr w:rsidR="004A0EDE" w:rsidRPr="00117AB0" w14:paraId="3A7D796B" w14:textId="77777777" w:rsidTr="004A0EDE">
        <w:tc>
          <w:tcPr>
            <w:tcW w:w="3114" w:type="dxa"/>
          </w:tcPr>
          <w:p w14:paraId="67BE992F" w14:textId="5BD094CC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Hoxter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Germany</w:t>
            </w:r>
          </w:p>
        </w:tc>
        <w:tc>
          <w:tcPr>
            <w:tcW w:w="7087" w:type="dxa"/>
          </w:tcPr>
          <w:p w14:paraId="16078B73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beds and displays on the banks of the river Weser</w:t>
            </w:r>
          </w:p>
        </w:tc>
      </w:tr>
      <w:tr w:rsidR="004A0EDE" w:rsidRPr="00117AB0" w14:paraId="4FC0D93B" w14:textId="77777777" w:rsidTr="004A0EDE">
        <w:tc>
          <w:tcPr>
            <w:tcW w:w="3114" w:type="dxa"/>
          </w:tcPr>
          <w:p w14:paraId="7AA7D203" w14:textId="6BE93A49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Meinheim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Germany</w:t>
            </w:r>
          </w:p>
        </w:tc>
        <w:tc>
          <w:tcPr>
            <w:tcW w:w="7087" w:type="dxa"/>
          </w:tcPr>
          <w:p w14:paraId="1330BC9F" w14:textId="77777777" w:rsidR="004A0EDE" w:rsidRPr="00117AB0" w:rsidRDefault="004A0EDE" w:rsidP="00BB6FA6">
            <w:pPr>
              <w:rPr>
                <w:rFonts w:ascii="Arial" w:eastAsia="Times New Roman" w:hAnsi="Arial" w:cs="Arial"/>
                <w:color w:val="000000"/>
                <w:lang w:val="en-IE" w:eastAsia="en-IE"/>
              </w:rPr>
            </w:pPr>
            <w:r w:rsidRPr="00117AB0">
              <w:rPr>
                <w:rFonts w:ascii="Arial" w:eastAsia="Times New Roman" w:hAnsi="Arial" w:cs="Arial"/>
                <w:color w:val="000000"/>
                <w:lang w:val="en-IE" w:eastAsia="en-IE"/>
              </w:rPr>
              <w:t>For the climate change mitigation and the use of local biogas and PV panels as well as the water management</w:t>
            </w:r>
          </w:p>
        </w:tc>
      </w:tr>
      <w:tr w:rsidR="004A0EDE" w:rsidRPr="00117AB0" w14:paraId="09191404" w14:textId="77777777" w:rsidTr="004A0EDE">
        <w:tc>
          <w:tcPr>
            <w:tcW w:w="3114" w:type="dxa"/>
          </w:tcPr>
          <w:p w14:paraId="345A927D" w14:textId="6D6DFD1A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Carlow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Ireland</w:t>
            </w:r>
          </w:p>
        </w:tc>
        <w:tc>
          <w:tcPr>
            <w:tcW w:w="7087" w:type="dxa"/>
          </w:tcPr>
          <w:p w14:paraId="11B28806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Delta Sensory Garden</w:t>
            </w:r>
          </w:p>
        </w:tc>
      </w:tr>
      <w:tr w:rsidR="004A0EDE" w:rsidRPr="00117AB0" w14:paraId="7276458E" w14:textId="77777777" w:rsidTr="004A0EDE">
        <w:tc>
          <w:tcPr>
            <w:tcW w:w="3114" w:type="dxa"/>
          </w:tcPr>
          <w:p w14:paraId="22219C05" w14:textId="2F93AE94" w:rsidR="004A0EDE" w:rsidRPr="00117AB0" w:rsidRDefault="004A0EDE" w:rsidP="00BB6F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Ballinahown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,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Ireland</w:t>
            </w:r>
          </w:p>
        </w:tc>
        <w:tc>
          <w:tcPr>
            <w:tcW w:w="7087" w:type="dxa"/>
          </w:tcPr>
          <w:p w14:paraId="7E6B38FD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energy, enthusiasm, and involvement of the local community</w:t>
            </w:r>
          </w:p>
        </w:tc>
      </w:tr>
      <w:tr w:rsidR="004A0EDE" w:rsidRPr="00117AB0" w14:paraId="5609E141" w14:textId="77777777" w:rsidTr="004A0EDE">
        <w:tc>
          <w:tcPr>
            <w:tcW w:w="3114" w:type="dxa"/>
          </w:tcPr>
          <w:p w14:paraId="3E575E55" w14:textId="25792B5F" w:rsidR="004A0EDE" w:rsidRPr="00117AB0" w:rsidRDefault="004A0EDE" w:rsidP="00BB6FA6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Písek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.</w:t>
            </w: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Czech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ia</w:t>
            </w:r>
          </w:p>
        </w:tc>
        <w:tc>
          <w:tcPr>
            <w:tcW w:w="7087" w:type="dxa"/>
          </w:tcPr>
          <w:p w14:paraId="38CAC58F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Lily planting beds in the streetscape</w:t>
            </w:r>
          </w:p>
        </w:tc>
      </w:tr>
      <w:tr w:rsidR="004A0EDE" w:rsidRPr="00117AB0" w14:paraId="50E9AE75" w14:textId="77777777" w:rsidTr="004A0EDE">
        <w:tc>
          <w:tcPr>
            <w:tcW w:w="3114" w:type="dxa"/>
          </w:tcPr>
          <w:p w14:paraId="54136071" w14:textId="24F19BD4" w:rsidR="004A0EDE" w:rsidRPr="00117AB0" w:rsidRDefault="004A0EDE" w:rsidP="00BB6FA6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Chorušice Czech</w:t>
            </w:r>
            <w:r w:rsidR="00117A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ia</w:t>
            </w:r>
          </w:p>
        </w:tc>
        <w:tc>
          <w:tcPr>
            <w:tcW w:w="7087" w:type="dxa"/>
          </w:tcPr>
          <w:p w14:paraId="0667A320" w14:textId="77777777" w:rsidR="004A0EDE" w:rsidRPr="00117AB0" w:rsidRDefault="004A0EDE" w:rsidP="00BB6FA6">
            <w:pPr>
              <w:rPr>
                <w:rFonts w:ascii="Arial" w:hAnsi="Arial" w:cs="Arial"/>
                <w:lang w:val="en-US"/>
              </w:rPr>
            </w:pPr>
            <w:r w:rsidRPr="00117AB0">
              <w:rPr>
                <w:rFonts w:ascii="Arial" w:hAnsi="Arial" w:cs="Arial"/>
                <w:lang w:val="en-US"/>
              </w:rPr>
              <w:t>For the wide range of activities in landscape restoration, especially with the use of traditional fruit tree varieties.</w:t>
            </w:r>
          </w:p>
        </w:tc>
      </w:tr>
    </w:tbl>
    <w:p w14:paraId="0F320482" w14:textId="18E8B6E7" w:rsidR="00991641" w:rsidRPr="00991641" w:rsidRDefault="00991641" w:rsidP="004A0EDE">
      <w:pPr>
        <w:spacing w:after="240" w:line="240" w:lineRule="auto"/>
        <w:ind w:right="237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117AB0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For further information please contact </w:t>
      </w:r>
      <w:hyperlink r:id="rId7" w:history="1">
        <w:r w:rsidRPr="00991641">
          <w:rPr>
            <w:rFonts w:ascii="Cambria" w:eastAsia="Times New Roman" w:hAnsi="Cambria" w:cs="Times New Roman"/>
            <w:color w:val="0000FF"/>
            <w:kern w:val="0"/>
            <w:u w:val="single"/>
            <w:lang w:eastAsia="en-IE"/>
            <w14:ligatures w14:val="none"/>
          </w:rPr>
          <w:t>www.entente-florale.eu</w:t>
        </w:r>
      </w:hyperlink>
    </w:p>
    <w:p w14:paraId="70D841B7" w14:textId="77777777" w:rsidR="009C7B77" w:rsidRDefault="009C7B77"/>
    <w:sectPr w:rsidR="009C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054B"/>
    <w:multiLevelType w:val="multilevel"/>
    <w:tmpl w:val="7FE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754D4"/>
    <w:multiLevelType w:val="multilevel"/>
    <w:tmpl w:val="1EE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023747">
    <w:abstractNumId w:val="1"/>
  </w:num>
  <w:num w:numId="2" w16cid:durableId="130157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1"/>
    <w:rsid w:val="00117AB0"/>
    <w:rsid w:val="0014288E"/>
    <w:rsid w:val="002F2F6F"/>
    <w:rsid w:val="003434A9"/>
    <w:rsid w:val="003E51E0"/>
    <w:rsid w:val="004040EB"/>
    <w:rsid w:val="00444B57"/>
    <w:rsid w:val="00463094"/>
    <w:rsid w:val="004A0EDE"/>
    <w:rsid w:val="006B6393"/>
    <w:rsid w:val="00836E8A"/>
    <w:rsid w:val="00991641"/>
    <w:rsid w:val="009C7B77"/>
    <w:rsid w:val="00C34084"/>
    <w:rsid w:val="00CE3550"/>
    <w:rsid w:val="00D213ED"/>
    <w:rsid w:val="00D3056B"/>
    <w:rsid w:val="00D67840"/>
    <w:rsid w:val="00DC63FB"/>
    <w:rsid w:val="00DE10F3"/>
    <w:rsid w:val="00E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1046"/>
  <w15:chartTrackingRefBased/>
  <w15:docId w15:val="{4D62B94D-12ED-4EEE-83E9-01136FDF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A0EDE"/>
    <w:pPr>
      <w:spacing w:after="200" w:line="276" w:lineRule="auto"/>
      <w:ind w:left="720"/>
      <w:contextualSpacing/>
    </w:pPr>
    <w:rPr>
      <w:kern w:val="0"/>
      <w:lang w:val="nl-BE"/>
      <w14:ligatures w14:val="none"/>
    </w:rPr>
  </w:style>
  <w:style w:type="table" w:styleId="TableGrid">
    <w:name w:val="Table Grid"/>
    <w:basedOn w:val="TableNormal"/>
    <w:uiPriority w:val="39"/>
    <w:rsid w:val="004A0EDE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tente-floral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ntente-floral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3</cp:revision>
  <dcterms:created xsi:type="dcterms:W3CDTF">2024-09-03T21:23:00Z</dcterms:created>
  <dcterms:modified xsi:type="dcterms:W3CDTF">2024-09-09T08:11:00Z</dcterms:modified>
</cp:coreProperties>
</file>